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7" w:type="dxa"/>
        <w:shd w:val="clear" w:color="auto" w:fill="000000"/>
        <w:tblCellMar>
          <w:top w:w="30" w:type="dxa"/>
          <w:left w:w="30" w:type="dxa"/>
          <w:bottom w:w="30" w:type="dxa"/>
          <w:right w:w="30" w:type="dxa"/>
        </w:tblCellMar>
        <w:tblLook w:val="04A0" w:firstRow="1" w:lastRow="0" w:firstColumn="1" w:lastColumn="0" w:noHBand="0" w:noVBand="1"/>
      </w:tblPr>
      <w:tblGrid>
        <w:gridCol w:w="2166"/>
        <w:gridCol w:w="4511"/>
        <w:gridCol w:w="2323"/>
      </w:tblGrid>
      <w:tr w:rsidR="00B266A6" w:rsidTr="004F30E7">
        <w:trPr>
          <w:tblCellSpacing w:w="7" w:type="dxa"/>
        </w:trPr>
        <w:tc>
          <w:tcPr>
            <w:tcW w:w="19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rPr>
                <w:b/>
                <w:bCs/>
              </w:rPr>
              <w:t>Dualismo</w:t>
            </w:r>
          </w:p>
        </w:tc>
        <w:tc>
          <w:tcPr>
            <w:tcW w:w="43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t xml:space="preserve">Esta corriente establece una separación del </w:t>
            </w:r>
            <w:r>
              <w:rPr>
                <w:i/>
                <w:iCs/>
              </w:rPr>
              <w:t>cuerpo</w:t>
            </w:r>
            <w:r>
              <w:t xml:space="preserve"> y el </w:t>
            </w:r>
            <w:r>
              <w:rPr>
                <w:i/>
                <w:iCs/>
              </w:rPr>
              <w:t>alma</w:t>
            </w:r>
            <w:r>
              <w:t xml:space="preserve"> en el hombre. Sus representantes llegan a identificar al hombre con el alma (Platón) o a afirmar que el hombre está compuesto por dos substancias distintas, una extensa (cuerpo) y otra pensante (alma) (Descartes).</w:t>
            </w:r>
          </w:p>
        </w:tc>
        <w:tc>
          <w:tcPr>
            <w:tcW w:w="2250"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hyperlink r:id="rId5" w:history="1">
              <w:r>
                <w:rPr>
                  <w:rStyle w:val="Hipervnculo"/>
                </w:rPr>
                <w:t>Platón</w:t>
              </w:r>
            </w:hyperlink>
            <w:r>
              <w:t xml:space="preserve"> </w:t>
            </w:r>
          </w:p>
          <w:p w:rsidR="00B266A6" w:rsidRDefault="00B266A6" w:rsidP="004F30E7">
            <w:pPr>
              <w:pStyle w:val="NormalWeb"/>
              <w:spacing w:before="45" w:after="45"/>
              <w:ind w:left="45" w:right="45"/>
            </w:pPr>
            <w:hyperlink r:id="rId6" w:history="1">
              <w:r>
                <w:rPr>
                  <w:rStyle w:val="Hipervnculo"/>
                </w:rPr>
                <w:t>Agustín de Hipona</w:t>
              </w:r>
            </w:hyperlink>
            <w:r>
              <w:t xml:space="preserve"> </w:t>
            </w:r>
          </w:p>
          <w:p w:rsidR="00B266A6" w:rsidRDefault="00B266A6" w:rsidP="004F30E7">
            <w:pPr>
              <w:pStyle w:val="NormalWeb"/>
              <w:spacing w:before="45" w:after="45"/>
              <w:ind w:left="45" w:right="45"/>
            </w:pPr>
            <w:hyperlink r:id="rId7" w:history="1">
              <w:r>
                <w:rPr>
                  <w:rStyle w:val="Hipervnculo"/>
                </w:rPr>
                <w:t>Renato Descartes</w:t>
              </w:r>
            </w:hyperlink>
            <w:r>
              <w:t xml:space="preserve"> </w:t>
            </w:r>
          </w:p>
          <w:p w:rsidR="00B266A6" w:rsidRDefault="00B266A6" w:rsidP="004F30E7">
            <w:pPr>
              <w:pStyle w:val="NormalWeb"/>
              <w:spacing w:before="45" w:after="45"/>
              <w:ind w:left="45" w:right="45"/>
            </w:pPr>
            <w:proofErr w:type="spellStart"/>
            <w:r>
              <w:t>Nicolas</w:t>
            </w:r>
            <w:proofErr w:type="spellEnd"/>
            <w:r>
              <w:t xml:space="preserve"> </w:t>
            </w:r>
            <w:proofErr w:type="spellStart"/>
            <w:r>
              <w:t>Malebranche</w:t>
            </w:r>
            <w:proofErr w:type="spellEnd"/>
          </w:p>
        </w:tc>
      </w:tr>
      <w:tr w:rsidR="00B266A6" w:rsidTr="004F30E7">
        <w:trPr>
          <w:tblCellSpacing w:w="7" w:type="dxa"/>
        </w:trPr>
        <w:tc>
          <w:tcPr>
            <w:tcW w:w="19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rPr>
                <w:b/>
                <w:bCs/>
              </w:rPr>
              <w:t>Realismo</w:t>
            </w:r>
          </w:p>
        </w:tc>
        <w:tc>
          <w:tcPr>
            <w:tcW w:w="43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t xml:space="preserve">El hombre es una substancia compuesta, como toda substancia, de </w:t>
            </w:r>
            <w:r>
              <w:rPr>
                <w:i/>
                <w:iCs/>
              </w:rPr>
              <w:t>materia</w:t>
            </w:r>
            <w:r>
              <w:t xml:space="preserve"> y </w:t>
            </w:r>
            <w:r>
              <w:rPr>
                <w:i/>
                <w:iCs/>
              </w:rPr>
              <w:t>forma</w:t>
            </w:r>
            <w:r>
              <w:t xml:space="preserve">. En su caso, la forma es el alma y la materia el cuerpo. Alma y cuerpo son </w:t>
            </w:r>
            <w:proofErr w:type="spellStart"/>
            <w:r>
              <w:t>co</w:t>
            </w:r>
            <w:proofErr w:type="spellEnd"/>
            <w:r>
              <w:t>-principios; si se separan, ya no hay hombre.</w:t>
            </w:r>
          </w:p>
        </w:tc>
        <w:tc>
          <w:tcPr>
            <w:tcW w:w="2250"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hyperlink r:id="rId8" w:history="1">
              <w:r>
                <w:rPr>
                  <w:rStyle w:val="Hipervnculo"/>
                </w:rPr>
                <w:t>Aristóteles</w:t>
              </w:r>
            </w:hyperlink>
          </w:p>
          <w:p w:rsidR="00B266A6" w:rsidRDefault="00B266A6" w:rsidP="004F30E7">
            <w:pPr>
              <w:pStyle w:val="NormalWeb"/>
              <w:spacing w:before="45" w:after="45"/>
              <w:ind w:left="45" w:right="45"/>
            </w:pPr>
            <w:hyperlink r:id="rId9" w:history="1">
              <w:r>
                <w:rPr>
                  <w:rStyle w:val="Hipervnculo"/>
                </w:rPr>
                <w:t>Tomás de Aquino</w:t>
              </w:r>
            </w:hyperlink>
          </w:p>
        </w:tc>
      </w:tr>
      <w:tr w:rsidR="00B266A6" w:rsidTr="004F30E7">
        <w:trPr>
          <w:tblCellSpacing w:w="7" w:type="dxa"/>
        </w:trPr>
        <w:tc>
          <w:tcPr>
            <w:tcW w:w="19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rPr>
                <w:b/>
                <w:bCs/>
              </w:rPr>
              <w:t>Trascendentalismo</w:t>
            </w:r>
          </w:p>
        </w:tc>
        <w:tc>
          <w:tcPr>
            <w:tcW w:w="43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t>El "sujeto trascendental", cuya estructura universal poseen todos los sujetos humanos particulares, es condición de posibilidad de todo conocimiento. Como es esencialmente sujeto, no se lo puede transformar en objeto de conocimiento y se torna incognoscible.</w:t>
            </w:r>
          </w:p>
        </w:tc>
        <w:tc>
          <w:tcPr>
            <w:tcW w:w="2250"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hyperlink r:id="rId10" w:history="1">
              <w:r>
                <w:rPr>
                  <w:rStyle w:val="Hipervnculo"/>
                </w:rPr>
                <w:t>Immanuel Kant</w:t>
              </w:r>
            </w:hyperlink>
          </w:p>
          <w:p w:rsidR="00B266A6" w:rsidRDefault="00B266A6" w:rsidP="004F30E7">
            <w:pPr>
              <w:pStyle w:val="NormalWeb"/>
              <w:spacing w:before="45" w:after="45"/>
              <w:ind w:left="45" w:right="45"/>
            </w:pPr>
            <w:hyperlink r:id="rId11" w:history="1">
              <w:r>
                <w:rPr>
                  <w:rStyle w:val="Hipervnculo"/>
                </w:rPr>
                <w:t>Edmund Husserl</w:t>
              </w:r>
            </w:hyperlink>
          </w:p>
        </w:tc>
      </w:tr>
      <w:tr w:rsidR="00B266A6" w:rsidTr="004F30E7">
        <w:trPr>
          <w:tblCellSpacing w:w="7" w:type="dxa"/>
        </w:trPr>
        <w:tc>
          <w:tcPr>
            <w:tcW w:w="19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rPr>
                <w:b/>
                <w:bCs/>
              </w:rPr>
              <w:t>Existencialismo</w:t>
            </w:r>
          </w:p>
        </w:tc>
        <w:tc>
          <w:tcPr>
            <w:tcW w:w="43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t xml:space="preserve">En el hombre la </w:t>
            </w:r>
            <w:r>
              <w:rPr>
                <w:i/>
                <w:iCs/>
              </w:rPr>
              <w:t>existencia</w:t>
            </w:r>
            <w:r>
              <w:t xml:space="preserve"> precede a la </w:t>
            </w:r>
            <w:r>
              <w:rPr>
                <w:i/>
                <w:iCs/>
              </w:rPr>
              <w:t>esencia</w:t>
            </w:r>
            <w:r>
              <w:t>. El hombre es un ser situado, esencialmente relacionado con el mundo y con los demás y abierto a una pluralidad de posibilidades entre las que debe elegir libremente.</w:t>
            </w:r>
          </w:p>
        </w:tc>
        <w:tc>
          <w:tcPr>
            <w:tcW w:w="2250"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hyperlink r:id="rId12" w:history="1">
              <w:r>
                <w:rPr>
                  <w:rStyle w:val="Hipervnculo"/>
                </w:rPr>
                <w:t>Martín Heidegger</w:t>
              </w:r>
            </w:hyperlink>
          </w:p>
          <w:p w:rsidR="00B266A6" w:rsidRDefault="00B266A6" w:rsidP="004F30E7">
            <w:pPr>
              <w:pStyle w:val="NormalWeb"/>
              <w:spacing w:before="45" w:after="45"/>
              <w:ind w:left="45" w:right="45"/>
            </w:pPr>
            <w:hyperlink r:id="rId13" w:history="1">
              <w:r>
                <w:rPr>
                  <w:rStyle w:val="Hipervnculo"/>
                </w:rPr>
                <w:t>Jean-Paul Sartre</w:t>
              </w:r>
            </w:hyperlink>
          </w:p>
          <w:p w:rsidR="00B266A6" w:rsidRDefault="00B266A6" w:rsidP="004F30E7">
            <w:pPr>
              <w:pStyle w:val="NormalWeb"/>
              <w:spacing w:before="45" w:after="45"/>
              <w:ind w:left="45" w:right="45"/>
            </w:pPr>
            <w:r>
              <w:t>Gabriel Marcel</w:t>
            </w:r>
          </w:p>
        </w:tc>
      </w:tr>
      <w:tr w:rsidR="00B266A6" w:rsidRPr="007801A7" w:rsidTr="004F30E7">
        <w:trPr>
          <w:tblCellSpacing w:w="7" w:type="dxa"/>
        </w:trPr>
        <w:tc>
          <w:tcPr>
            <w:tcW w:w="19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rPr>
                <w:b/>
                <w:bCs/>
              </w:rPr>
              <w:t>Estructuralismo</w:t>
            </w:r>
          </w:p>
        </w:tc>
        <w:tc>
          <w:tcPr>
            <w:tcW w:w="4395" w:type="dxa"/>
            <w:tcBorders>
              <w:top w:val="nil"/>
              <w:left w:val="nil"/>
              <w:bottom w:val="nil"/>
              <w:right w:val="nil"/>
            </w:tcBorders>
            <w:shd w:val="clear" w:color="auto" w:fill="FFFFFF"/>
            <w:vAlign w:val="center"/>
            <w:hideMark/>
          </w:tcPr>
          <w:p w:rsidR="00B266A6" w:rsidRDefault="00B266A6" w:rsidP="004F30E7">
            <w:pPr>
              <w:pStyle w:val="NormalWeb"/>
              <w:spacing w:before="45" w:after="45"/>
              <w:ind w:left="45" w:right="45"/>
            </w:pPr>
            <w:r>
              <w:t xml:space="preserve">El nivel </w:t>
            </w:r>
            <w:r>
              <w:rPr>
                <w:i/>
                <w:iCs/>
              </w:rPr>
              <w:t>simbólico</w:t>
            </w:r>
            <w:r>
              <w:t xml:space="preserve"> e </w:t>
            </w:r>
            <w:r>
              <w:rPr>
                <w:i/>
                <w:iCs/>
              </w:rPr>
              <w:t>inconsciente</w:t>
            </w:r>
            <w:r>
              <w:t xml:space="preserve"> es la auténtica base de lo real. El papel del sujeto es sumamente limitado ya que éste no tiene significado por sí mismo sino solamente en relación con las estructuras sociales y culturales, las cuales lo dotan de sentido.</w:t>
            </w:r>
          </w:p>
        </w:tc>
        <w:tc>
          <w:tcPr>
            <w:tcW w:w="2250" w:type="dxa"/>
            <w:tcBorders>
              <w:top w:val="nil"/>
              <w:left w:val="nil"/>
              <w:bottom w:val="nil"/>
              <w:right w:val="nil"/>
            </w:tcBorders>
            <w:shd w:val="clear" w:color="auto" w:fill="FFFFFF"/>
            <w:vAlign w:val="center"/>
            <w:hideMark/>
          </w:tcPr>
          <w:p w:rsidR="00B266A6" w:rsidRPr="007801A7" w:rsidRDefault="00B266A6" w:rsidP="004F30E7">
            <w:pPr>
              <w:pStyle w:val="NormalWeb"/>
              <w:spacing w:before="45" w:after="45"/>
              <w:ind w:left="45" w:right="45"/>
              <w:rPr>
                <w:lang w:val="en-US"/>
              </w:rPr>
            </w:pPr>
            <w:r w:rsidRPr="007801A7">
              <w:rPr>
                <w:lang w:val="en-US"/>
              </w:rPr>
              <w:t xml:space="preserve">Claude </w:t>
            </w:r>
            <w:proofErr w:type="spellStart"/>
            <w:r w:rsidRPr="007801A7">
              <w:rPr>
                <w:lang w:val="en-US"/>
              </w:rPr>
              <w:t>Lévy</w:t>
            </w:r>
            <w:proofErr w:type="spellEnd"/>
            <w:r w:rsidRPr="007801A7">
              <w:rPr>
                <w:lang w:val="en-US"/>
              </w:rPr>
              <w:t>-Strauss</w:t>
            </w:r>
          </w:p>
          <w:p w:rsidR="00B266A6" w:rsidRPr="007801A7" w:rsidRDefault="00B266A6" w:rsidP="004F30E7">
            <w:pPr>
              <w:pStyle w:val="NormalWeb"/>
              <w:spacing w:before="45" w:after="45"/>
              <w:ind w:left="45" w:right="45"/>
              <w:rPr>
                <w:lang w:val="en-US"/>
              </w:rPr>
            </w:pPr>
            <w:hyperlink r:id="rId14" w:history="1">
              <w:r w:rsidRPr="007801A7">
                <w:rPr>
                  <w:rStyle w:val="Hipervnculo"/>
                  <w:lang w:val="en-US"/>
                </w:rPr>
                <w:t>Michel Foucault</w:t>
              </w:r>
            </w:hyperlink>
          </w:p>
        </w:tc>
      </w:tr>
    </w:tbl>
    <w:p w:rsidR="00D5596D" w:rsidRDefault="00D5596D"/>
    <w:p w:rsidR="00B266A6" w:rsidRDefault="00B266A6"/>
    <w:tbl>
      <w:tblPr>
        <w:tblW w:w="9000" w:type="dxa"/>
        <w:tblCellSpacing w:w="7" w:type="dxa"/>
        <w:shd w:val="clear" w:color="auto" w:fill="000000"/>
        <w:tblCellMar>
          <w:top w:w="30" w:type="dxa"/>
          <w:left w:w="30" w:type="dxa"/>
          <w:bottom w:w="30" w:type="dxa"/>
          <w:right w:w="30" w:type="dxa"/>
        </w:tblCellMar>
        <w:tblLook w:val="04A0" w:firstRow="1" w:lastRow="0" w:firstColumn="1" w:lastColumn="0" w:noHBand="0" w:noVBand="1"/>
      </w:tblPr>
      <w:tblGrid>
        <w:gridCol w:w="2074"/>
        <w:gridCol w:w="4637"/>
        <w:gridCol w:w="2289"/>
      </w:tblGrid>
      <w:tr w:rsidR="00B266A6" w:rsidRPr="00B266A6" w:rsidTr="004F30E7">
        <w:trPr>
          <w:tblCellSpacing w:w="7" w:type="dxa"/>
        </w:trPr>
        <w:tc>
          <w:tcPr>
            <w:tcW w:w="8850" w:type="dxa"/>
            <w:gridSpan w:val="3"/>
            <w:tcBorders>
              <w:top w:val="nil"/>
              <w:left w:val="nil"/>
              <w:bottom w:val="nil"/>
              <w:right w:val="nil"/>
            </w:tcBorders>
            <w:shd w:val="clear" w:color="auto" w:fill="000000"/>
            <w:vAlign w:val="center"/>
            <w:hideMark/>
          </w:tcPr>
          <w:p w:rsidR="00B266A6" w:rsidRPr="00B266A6" w:rsidRDefault="00B266A6" w:rsidP="00B266A6">
            <w:pPr>
              <w:spacing w:before="45" w:beforeAutospacing="1" w:after="45" w:afterAutospacing="1" w:line="240" w:lineRule="auto"/>
              <w:ind w:left="45" w:right="45"/>
              <w:jc w:val="center"/>
              <w:rPr>
                <w:rFonts w:ascii="Times New Roman" w:eastAsia="Times New Roman" w:hAnsi="Times New Roman"/>
                <w:sz w:val="24"/>
                <w:szCs w:val="24"/>
                <w:lang w:eastAsia="es-AR"/>
              </w:rPr>
            </w:pPr>
            <w:r w:rsidRPr="00B266A6">
              <w:rPr>
                <w:rFonts w:ascii="Times New Roman" w:eastAsia="Times New Roman" w:hAnsi="Times New Roman"/>
                <w:b/>
                <w:bCs/>
                <w:color w:val="FFFFFF"/>
                <w:sz w:val="24"/>
                <w:szCs w:val="24"/>
                <w:lang w:eastAsia="es-AR"/>
              </w:rPr>
              <w:t>Corrientes éticas</w:t>
            </w:r>
          </w:p>
        </w:tc>
      </w:tr>
      <w:tr w:rsidR="00B266A6" w:rsidRPr="00B266A6" w:rsidTr="004F30E7">
        <w:trPr>
          <w:tblCellSpacing w:w="7" w:type="dxa"/>
        </w:trPr>
        <w:tc>
          <w:tcPr>
            <w:tcW w:w="202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b/>
                <w:bCs/>
                <w:sz w:val="24"/>
                <w:szCs w:val="24"/>
                <w:lang w:eastAsia="es-AR"/>
              </w:rPr>
              <w:t>De las virtudes</w:t>
            </w:r>
          </w:p>
        </w:tc>
        <w:tc>
          <w:tcPr>
            <w:tcW w:w="4560"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sz w:val="24"/>
                <w:szCs w:val="24"/>
                <w:lang w:eastAsia="es-AR"/>
              </w:rPr>
              <w:t>La felicidad consiste en la actividad del alma, y la más perfecta felicidad se consigue por medio de la actividad más perfecta, la intelectual.</w:t>
            </w:r>
          </w:p>
        </w:tc>
        <w:tc>
          <w:tcPr>
            <w:tcW w:w="208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hyperlink r:id="rId15" w:history="1">
              <w:r w:rsidRPr="00B266A6">
                <w:rPr>
                  <w:rFonts w:ascii="Times New Roman" w:eastAsia="Times New Roman" w:hAnsi="Times New Roman"/>
                  <w:color w:val="660000"/>
                  <w:sz w:val="24"/>
                  <w:szCs w:val="24"/>
                  <w:u w:val="single"/>
                  <w:lang w:eastAsia="es-AR"/>
                </w:rPr>
                <w:t>Platón</w:t>
              </w:r>
            </w:hyperlink>
            <w:r w:rsidRPr="00B266A6">
              <w:rPr>
                <w:rFonts w:ascii="Times New Roman" w:eastAsia="Times New Roman" w:hAnsi="Times New Roman"/>
                <w:sz w:val="24"/>
                <w:szCs w:val="24"/>
                <w:lang w:eastAsia="es-AR"/>
              </w:rPr>
              <w:t xml:space="preserve"> </w:t>
            </w:r>
          </w:p>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hyperlink r:id="rId16" w:history="1">
              <w:r w:rsidRPr="00B266A6">
                <w:rPr>
                  <w:rFonts w:ascii="Times New Roman" w:eastAsia="Times New Roman" w:hAnsi="Times New Roman"/>
                  <w:color w:val="660000"/>
                  <w:sz w:val="24"/>
                  <w:szCs w:val="24"/>
                  <w:u w:val="single"/>
                  <w:lang w:eastAsia="es-AR"/>
                </w:rPr>
                <w:t>Aristóteles</w:t>
              </w:r>
            </w:hyperlink>
          </w:p>
        </w:tc>
      </w:tr>
      <w:tr w:rsidR="00B266A6" w:rsidRPr="00B266A6" w:rsidTr="004F30E7">
        <w:trPr>
          <w:tblCellSpacing w:w="7" w:type="dxa"/>
        </w:trPr>
        <w:tc>
          <w:tcPr>
            <w:tcW w:w="202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b/>
                <w:bCs/>
                <w:sz w:val="24"/>
                <w:szCs w:val="24"/>
                <w:lang w:eastAsia="es-AR"/>
              </w:rPr>
              <w:t>Utilitarista</w:t>
            </w:r>
          </w:p>
        </w:tc>
        <w:tc>
          <w:tcPr>
            <w:tcW w:w="4560"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sz w:val="24"/>
                <w:szCs w:val="24"/>
                <w:lang w:eastAsia="es-AR"/>
              </w:rPr>
              <w:t>Bueno es aquello que promueve la mayor felicidad para el mayor número de personas. Las acciones humanas se valoran no por lo que son sino por las consecuencias que tienen.</w:t>
            </w:r>
          </w:p>
        </w:tc>
        <w:tc>
          <w:tcPr>
            <w:tcW w:w="208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val="en-US" w:eastAsia="es-AR"/>
              </w:rPr>
            </w:pPr>
            <w:r w:rsidRPr="00B266A6">
              <w:rPr>
                <w:rFonts w:ascii="Times New Roman" w:eastAsia="Times New Roman" w:hAnsi="Times New Roman"/>
                <w:sz w:val="24"/>
                <w:szCs w:val="24"/>
                <w:lang w:val="en-US" w:eastAsia="es-AR"/>
              </w:rPr>
              <w:t>Jeremy Bentham</w:t>
            </w:r>
          </w:p>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val="en-US" w:eastAsia="es-AR"/>
              </w:rPr>
            </w:pPr>
            <w:r w:rsidRPr="00B266A6">
              <w:rPr>
                <w:rFonts w:ascii="Times New Roman" w:eastAsia="Times New Roman" w:hAnsi="Times New Roman"/>
                <w:sz w:val="24"/>
                <w:szCs w:val="24"/>
                <w:lang w:val="en-US" w:eastAsia="es-AR"/>
              </w:rPr>
              <w:t>James Mill</w:t>
            </w:r>
          </w:p>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val="en-US" w:eastAsia="es-AR"/>
              </w:rPr>
            </w:pPr>
            <w:r w:rsidRPr="00B266A6">
              <w:rPr>
                <w:rFonts w:ascii="Times New Roman" w:eastAsia="Times New Roman" w:hAnsi="Times New Roman"/>
                <w:sz w:val="24"/>
                <w:szCs w:val="24"/>
                <w:lang w:val="en-US" w:eastAsia="es-AR"/>
              </w:rPr>
              <w:t>John Stuart Mill</w:t>
            </w:r>
          </w:p>
        </w:tc>
      </w:tr>
      <w:tr w:rsidR="00B266A6" w:rsidRPr="00B266A6" w:rsidTr="004F30E7">
        <w:trPr>
          <w:tblCellSpacing w:w="7" w:type="dxa"/>
        </w:trPr>
        <w:tc>
          <w:tcPr>
            <w:tcW w:w="202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b/>
                <w:bCs/>
                <w:sz w:val="24"/>
                <w:szCs w:val="24"/>
                <w:lang w:eastAsia="es-AR"/>
              </w:rPr>
              <w:lastRenderedPageBreak/>
              <w:t>De los valores</w:t>
            </w:r>
          </w:p>
        </w:tc>
        <w:tc>
          <w:tcPr>
            <w:tcW w:w="4560"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sz w:val="24"/>
                <w:szCs w:val="24"/>
                <w:lang w:eastAsia="es-AR"/>
              </w:rPr>
              <w:t xml:space="preserve">Los </w:t>
            </w:r>
            <w:r w:rsidRPr="00B266A6">
              <w:rPr>
                <w:rFonts w:ascii="Times New Roman" w:eastAsia="Times New Roman" w:hAnsi="Times New Roman"/>
                <w:i/>
                <w:iCs/>
                <w:sz w:val="24"/>
                <w:szCs w:val="24"/>
                <w:lang w:eastAsia="es-AR"/>
              </w:rPr>
              <w:t>valores</w:t>
            </w:r>
            <w:r w:rsidRPr="00B266A6">
              <w:rPr>
                <w:rFonts w:ascii="Times New Roman" w:eastAsia="Times New Roman" w:hAnsi="Times New Roman"/>
                <w:sz w:val="24"/>
                <w:szCs w:val="24"/>
                <w:lang w:eastAsia="es-AR"/>
              </w:rPr>
              <w:t xml:space="preserve"> conforman un reino ordenado jerárquicamente. Son absolutos y se nos dan como objetos intencionales de la conciencia emocional. La vida ética se enriquece en la medida que el sujeto descubre los valores y los vive. El descubrimiento y la vivencia de un valor lo lleva a descubrir nuevos valores (quien vive la amistad, por ejemplo, descubre el valor de la fidelidad).</w:t>
            </w:r>
          </w:p>
        </w:tc>
        <w:tc>
          <w:tcPr>
            <w:tcW w:w="208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hyperlink r:id="rId17" w:history="1">
              <w:r w:rsidRPr="00B266A6">
                <w:rPr>
                  <w:rFonts w:ascii="Times New Roman" w:eastAsia="Times New Roman" w:hAnsi="Times New Roman"/>
                  <w:color w:val="660000"/>
                  <w:sz w:val="24"/>
                  <w:szCs w:val="24"/>
                  <w:u w:val="single"/>
                  <w:lang w:eastAsia="es-AR"/>
                </w:rPr>
                <w:t>Max Scheler</w:t>
              </w:r>
            </w:hyperlink>
          </w:p>
        </w:tc>
      </w:tr>
      <w:tr w:rsidR="00B266A6" w:rsidRPr="00B266A6" w:rsidTr="004F30E7">
        <w:trPr>
          <w:tblCellSpacing w:w="7" w:type="dxa"/>
        </w:trPr>
        <w:tc>
          <w:tcPr>
            <w:tcW w:w="202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b/>
                <w:bCs/>
                <w:sz w:val="24"/>
                <w:szCs w:val="24"/>
                <w:lang w:eastAsia="es-AR"/>
              </w:rPr>
              <w:t>Del deber</w:t>
            </w:r>
          </w:p>
        </w:tc>
        <w:tc>
          <w:tcPr>
            <w:tcW w:w="4560"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sz w:val="24"/>
                <w:szCs w:val="24"/>
                <w:lang w:eastAsia="es-AR"/>
              </w:rPr>
              <w:t xml:space="preserve">Obra moralmente quien lo hace conforme al deber que la razón le impone mediante el </w:t>
            </w:r>
            <w:r w:rsidRPr="00B266A6">
              <w:rPr>
                <w:rFonts w:ascii="Times New Roman" w:eastAsia="Times New Roman" w:hAnsi="Times New Roman"/>
                <w:i/>
                <w:iCs/>
                <w:sz w:val="24"/>
                <w:szCs w:val="24"/>
                <w:lang w:eastAsia="es-AR"/>
              </w:rPr>
              <w:t>imperativo categórico</w:t>
            </w:r>
            <w:r w:rsidRPr="00B266A6">
              <w:rPr>
                <w:rFonts w:ascii="Times New Roman" w:eastAsia="Times New Roman" w:hAnsi="Times New Roman"/>
                <w:sz w:val="24"/>
                <w:szCs w:val="24"/>
                <w:lang w:eastAsia="es-AR"/>
              </w:rPr>
              <w:t>: «Obra sólo según aquella máxima que puedas querer que se convierta en ley universal.» El sujeto no recibe las normas del exterior sino de él mismo, pero no por eso las normas están sujetas a su capricho sino que tienen la misma universalidad de la razón, de la que proceden.</w:t>
            </w:r>
          </w:p>
        </w:tc>
        <w:tc>
          <w:tcPr>
            <w:tcW w:w="208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hyperlink r:id="rId18" w:history="1">
              <w:r w:rsidRPr="00B266A6">
                <w:rPr>
                  <w:rFonts w:ascii="Times New Roman" w:eastAsia="Times New Roman" w:hAnsi="Times New Roman"/>
                  <w:color w:val="660000"/>
                  <w:sz w:val="24"/>
                  <w:szCs w:val="24"/>
                  <w:u w:val="single"/>
                  <w:lang w:eastAsia="es-AR"/>
                </w:rPr>
                <w:t>Immanuel Kant</w:t>
              </w:r>
            </w:hyperlink>
          </w:p>
        </w:tc>
      </w:tr>
      <w:tr w:rsidR="00B266A6" w:rsidRPr="00B266A6" w:rsidTr="004F30E7">
        <w:trPr>
          <w:tblCellSpacing w:w="7" w:type="dxa"/>
        </w:trPr>
        <w:tc>
          <w:tcPr>
            <w:tcW w:w="202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b/>
                <w:bCs/>
                <w:sz w:val="24"/>
                <w:szCs w:val="24"/>
                <w:lang w:eastAsia="es-AR"/>
              </w:rPr>
              <w:t>Vitalista-relativista</w:t>
            </w:r>
          </w:p>
        </w:tc>
        <w:tc>
          <w:tcPr>
            <w:tcW w:w="4560"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sz w:val="24"/>
                <w:szCs w:val="24"/>
                <w:lang w:eastAsia="es-AR"/>
              </w:rPr>
              <w:t>La moral es una imposición de los débiles sobre la conciencia de los fuertes. Nada es bueno o malo en sí mismo, es el hombre quien valora y quien construye escalas de valores.</w:t>
            </w:r>
          </w:p>
        </w:tc>
        <w:tc>
          <w:tcPr>
            <w:tcW w:w="208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hyperlink r:id="rId19" w:history="1">
              <w:r w:rsidRPr="00B266A6">
                <w:rPr>
                  <w:rFonts w:ascii="Times New Roman" w:eastAsia="Times New Roman" w:hAnsi="Times New Roman"/>
                  <w:color w:val="660000"/>
                  <w:sz w:val="24"/>
                  <w:szCs w:val="24"/>
                  <w:u w:val="single"/>
                  <w:lang w:eastAsia="es-AR"/>
                </w:rPr>
                <w:t>Friedrich Nietzsche</w:t>
              </w:r>
            </w:hyperlink>
          </w:p>
        </w:tc>
      </w:tr>
      <w:tr w:rsidR="00B266A6" w:rsidRPr="00B266A6" w:rsidTr="004F30E7">
        <w:trPr>
          <w:tblCellSpacing w:w="7" w:type="dxa"/>
        </w:trPr>
        <w:tc>
          <w:tcPr>
            <w:tcW w:w="202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b/>
                <w:bCs/>
                <w:sz w:val="24"/>
                <w:szCs w:val="24"/>
                <w:lang w:eastAsia="es-AR"/>
              </w:rPr>
              <w:t>Posmoderna</w:t>
            </w:r>
          </w:p>
        </w:tc>
        <w:tc>
          <w:tcPr>
            <w:tcW w:w="4560"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sz w:val="24"/>
                <w:szCs w:val="24"/>
                <w:lang w:eastAsia="es-AR"/>
              </w:rPr>
              <w:t>No habiendo ninguna certidumbre meridiana, ningún "</w:t>
            </w:r>
            <w:proofErr w:type="spellStart"/>
            <w:r w:rsidRPr="00B266A6">
              <w:rPr>
                <w:rFonts w:ascii="Times New Roman" w:eastAsia="Times New Roman" w:hAnsi="Times New Roman"/>
                <w:sz w:val="24"/>
                <w:szCs w:val="24"/>
                <w:lang w:eastAsia="es-AR"/>
              </w:rPr>
              <w:t>metarrelato</w:t>
            </w:r>
            <w:proofErr w:type="spellEnd"/>
            <w:r w:rsidRPr="00B266A6">
              <w:rPr>
                <w:rFonts w:ascii="Times New Roman" w:eastAsia="Times New Roman" w:hAnsi="Times New Roman"/>
                <w:sz w:val="24"/>
                <w:szCs w:val="24"/>
                <w:lang w:eastAsia="es-AR"/>
              </w:rPr>
              <w:t>" en pie, no hay sino discursos diversos y alternativos en un ámbito sumamente pluralista en el que el sujeto adquiere el protagonismo al tener que elegir entre opciones igualmente infundadas.</w:t>
            </w:r>
          </w:p>
        </w:tc>
        <w:tc>
          <w:tcPr>
            <w:tcW w:w="2085" w:type="dxa"/>
            <w:tcBorders>
              <w:top w:val="nil"/>
              <w:left w:val="nil"/>
              <w:bottom w:val="nil"/>
              <w:right w:val="nil"/>
            </w:tcBorders>
            <w:shd w:val="clear" w:color="auto" w:fill="FFFFFF"/>
            <w:vAlign w:val="center"/>
            <w:hideMark/>
          </w:tcPr>
          <w:p w:rsidR="00B266A6" w:rsidRPr="00B266A6" w:rsidRDefault="00B266A6" w:rsidP="00B266A6">
            <w:pPr>
              <w:spacing w:before="45" w:beforeAutospacing="1" w:after="45" w:afterAutospacing="1" w:line="240" w:lineRule="auto"/>
              <w:ind w:left="45" w:right="45"/>
              <w:rPr>
                <w:rFonts w:ascii="Times New Roman" w:eastAsia="Times New Roman" w:hAnsi="Times New Roman"/>
                <w:sz w:val="24"/>
                <w:szCs w:val="24"/>
                <w:lang w:eastAsia="es-AR"/>
              </w:rPr>
            </w:pPr>
            <w:r w:rsidRPr="00B266A6">
              <w:rPr>
                <w:rFonts w:ascii="Times New Roman" w:eastAsia="Times New Roman" w:hAnsi="Times New Roman"/>
                <w:sz w:val="24"/>
                <w:szCs w:val="24"/>
                <w:lang w:eastAsia="es-AR"/>
              </w:rPr>
              <w:t xml:space="preserve">Gianni </w:t>
            </w:r>
            <w:proofErr w:type="spellStart"/>
            <w:r w:rsidRPr="00B266A6">
              <w:rPr>
                <w:rFonts w:ascii="Times New Roman" w:eastAsia="Times New Roman" w:hAnsi="Times New Roman"/>
                <w:sz w:val="24"/>
                <w:szCs w:val="24"/>
                <w:lang w:eastAsia="es-AR"/>
              </w:rPr>
              <w:t>Vattimo</w:t>
            </w:r>
            <w:proofErr w:type="spellEnd"/>
          </w:p>
        </w:tc>
      </w:tr>
    </w:tbl>
    <w:p w:rsidR="00B266A6" w:rsidRDefault="00B266A6">
      <w:bookmarkStart w:id="0" w:name="_GoBack"/>
      <w:bookmarkEnd w:id="0"/>
    </w:p>
    <w:sectPr w:rsidR="00B266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A6"/>
    <w:rsid w:val="00B266A6"/>
    <w:rsid w:val="00D559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A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66A6"/>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
    <w:name w:val="Hyperlink"/>
    <w:basedOn w:val="Fuentedeprrafopredeter"/>
    <w:uiPriority w:val="99"/>
    <w:semiHidden/>
    <w:unhideWhenUsed/>
    <w:rsid w:val="00B266A6"/>
    <w:rPr>
      <w:color w:val="66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A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66A6"/>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
    <w:name w:val="Hyperlink"/>
    <w:basedOn w:val="Fuentedeprrafopredeter"/>
    <w:uiPriority w:val="99"/>
    <w:semiHidden/>
    <w:unhideWhenUsed/>
    <w:rsid w:val="00B266A6"/>
    <w:rPr>
      <w:color w:val="66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venticus.org/articulos/02A034/aristoteles.html" TargetMode="External"/><Relationship Id="rId13" Type="http://schemas.openxmlformats.org/officeDocument/2006/relationships/hyperlink" Target="http://www.luventicus.org/articulos/02A027/sartre.html" TargetMode="External"/><Relationship Id="rId18" Type="http://schemas.openxmlformats.org/officeDocument/2006/relationships/hyperlink" Target="http://www.luventicus.org/articulos/02A036/kant.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uventicus.org/articulos/02A036/descartes.html" TargetMode="External"/><Relationship Id="rId12" Type="http://schemas.openxmlformats.org/officeDocument/2006/relationships/hyperlink" Target="http://www.luventicus.org/articulos/02A027/heidegger.html" TargetMode="External"/><Relationship Id="rId17" Type="http://schemas.openxmlformats.org/officeDocument/2006/relationships/hyperlink" Target="http://www.luventicus.org/articulos/02A027/scheler.html" TargetMode="External"/><Relationship Id="rId2" Type="http://schemas.microsoft.com/office/2007/relationships/stylesWithEffects" Target="stylesWithEffects.xml"/><Relationship Id="rId16" Type="http://schemas.openxmlformats.org/officeDocument/2006/relationships/hyperlink" Target="http://www.luventicus.org/articulos/02A034/aristotele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uventicus.org/articulos/03A002/agustin.html" TargetMode="External"/><Relationship Id="rId11" Type="http://schemas.openxmlformats.org/officeDocument/2006/relationships/hyperlink" Target="http://www.luventicus.org/articulos/02A027/husserl.html" TargetMode="External"/><Relationship Id="rId5" Type="http://schemas.openxmlformats.org/officeDocument/2006/relationships/hyperlink" Target="http://www.luventicus.org/articulos/02A034/platon.html" TargetMode="External"/><Relationship Id="rId15" Type="http://schemas.openxmlformats.org/officeDocument/2006/relationships/hyperlink" Target="http://www.luventicus.org/articulos/02A034/platon.html" TargetMode="External"/><Relationship Id="rId10" Type="http://schemas.openxmlformats.org/officeDocument/2006/relationships/hyperlink" Target="http://www.luventicus.org/articulos/02A036/kant.html" TargetMode="External"/><Relationship Id="rId19" Type="http://schemas.openxmlformats.org/officeDocument/2006/relationships/hyperlink" Target="http://www.luventicus.org/articulos/02A027/nietzsche.html" TargetMode="External"/><Relationship Id="rId4" Type="http://schemas.openxmlformats.org/officeDocument/2006/relationships/webSettings" Target="webSettings.xml"/><Relationship Id="rId9" Type="http://schemas.openxmlformats.org/officeDocument/2006/relationships/hyperlink" Target="http://www.luventicus.org/articulos/03A002/tomasdeaquino.html" TargetMode="External"/><Relationship Id="rId14" Type="http://schemas.openxmlformats.org/officeDocument/2006/relationships/hyperlink" Target="http://www.luventicus.org/articulos/02A027/foucaul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Vasquez</dc:creator>
  <cp:lastModifiedBy>Dante Vasquez</cp:lastModifiedBy>
  <cp:revision>1</cp:revision>
  <dcterms:created xsi:type="dcterms:W3CDTF">2016-10-17T18:01:00Z</dcterms:created>
  <dcterms:modified xsi:type="dcterms:W3CDTF">2016-10-17T18:06:00Z</dcterms:modified>
</cp:coreProperties>
</file>